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14FC" w14:textId="054DF486" w:rsidR="002A19D3" w:rsidRDefault="00FD4662" w:rsidP="00FD4662">
      <w:pPr>
        <w:jc w:val="center"/>
        <w:rPr>
          <w:sz w:val="24"/>
          <w:szCs w:val="24"/>
          <w:u w:val="single"/>
        </w:rPr>
      </w:pPr>
      <w:r w:rsidRPr="00FD4662">
        <w:rPr>
          <w:sz w:val="24"/>
          <w:szCs w:val="24"/>
          <w:u w:val="single"/>
        </w:rPr>
        <w:t>Community Safety – Legal Framework</w:t>
      </w:r>
    </w:p>
    <w:p w14:paraId="02954852" w14:textId="77777777" w:rsidR="00FD4662" w:rsidRDefault="00FD4662" w:rsidP="00FD4662">
      <w:pPr>
        <w:jc w:val="both"/>
      </w:pPr>
      <w:r w:rsidRPr="2CFD360A">
        <w:t xml:space="preserve">The legal duty on partner agencies to work together to improve community safety was first set out in the Crime and Disorder Act 1998. This has subsequently been developed and amended within </w:t>
      </w:r>
      <w:proofErr w:type="gramStart"/>
      <w:r w:rsidRPr="2CFD360A">
        <w:t>a number of</w:t>
      </w:r>
      <w:proofErr w:type="gramEnd"/>
      <w:r w:rsidRPr="2CFD360A">
        <w:t xml:space="preserve"> other pieces of legislation. The table below provides a summary of the key legislation of relevance to community safety partnership working.</w:t>
      </w:r>
    </w:p>
    <w:p w14:paraId="34042E2F" w14:textId="77777777" w:rsidR="00FD4662" w:rsidRDefault="00FD4662" w:rsidP="00FD4662">
      <w:pPr>
        <w:jc w:val="both"/>
      </w:pPr>
      <w:r w:rsidRPr="2CFD360A">
        <w:t xml:space="preserve">A full list of the legislation of relevance to community safety can be found in the Community Safety Information Sharing Protocol, available here: </w:t>
      </w:r>
      <w:hyperlink r:id="rId7">
        <w:r w:rsidRPr="2CFD360A">
          <w:rPr>
            <w:rStyle w:val="Hyperlink"/>
          </w:rPr>
          <w:t>https://safeinwarwickshire.com/isp/</w:t>
        </w:r>
      </w:hyperlink>
    </w:p>
    <w:tbl>
      <w:tblPr>
        <w:tblStyle w:val="TableGrid"/>
        <w:tblW w:w="9015" w:type="dxa"/>
        <w:tblLayout w:type="fixed"/>
        <w:tblLook w:val="06A0" w:firstRow="1" w:lastRow="0" w:firstColumn="1" w:lastColumn="0" w:noHBand="1" w:noVBand="1"/>
      </w:tblPr>
      <w:tblGrid>
        <w:gridCol w:w="1803"/>
        <w:gridCol w:w="1890"/>
        <w:gridCol w:w="1716"/>
        <w:gridCol w:w="1803"/>
        <w:gridCol w:w="1803"/>
      </w:tblGrid>
      <w:tr w:rsidR="00FD4662" w14:paraId="545D848C" w14:textId="77777777" w:rsidTr="00F31E30">
        <w:tc>
          <w:tcPr>
            <w:tcW w:w="1803" w:type="dxa"/>
          </w:tcPr>
          <w:p w14:paraId="1F6C83FD" w14:textId="77777777" w:rsidR="00FD4662" w:rsidRDefault="00FD4662" w:rsidP="00F31E30">
            <w:pPr>
              <w:jc w:val="both"/>
              <w:rPr>
                <w:b/>
                <w:bCs/>
              </w:rPr>
            </w:pPr>
            <w:r w:rsidRPr="2CFD360A">
              <w:rPr>
                <w:b/>
                <w:bCs/>
              </w:rPr>
              <w:t>Legislation</w:t>
            </w:r>
          </w:p>
        </w:tc>
        <w:tc>
          <w:tcPr>
            <w:tcW w:w="1890" w:type="dxa"/>
          </w:tcPr>
          <w:p w14:paraId="21105342" w14:textId="77777777" w:rsidR="00FD4662" w:rsidRDefault="00FD4662" w:rsidP="00F31E30">
            <w:pPr>
              <w:jc w:val="both"/>
              <w:rPr>
                <w:b/>
                <w:bCs/>
              </w:rPr>
            </w:pPr>
            <w:r w:rsidRPr="2CFD360A">
              <w:rPr>
                <w:b/>
                <w:bCs/>
              </w:rPr>
              <w:t xml:space="preserve"> District/Borough level requirements</w:t>
            </w:r>
          </w:p>
        </w:tc>
        <w:tc>
          <w:tcPr>
            <w:tcW w:w="1716" w:type="dxa"/>
          </w:tcPr>
          <w:p w14:paraId="0A56D65C" w14:textId="77777777" w:rsidR="00FD4662" w:rsidRDefault="00FD4662" w:rsidP="00F31E30">
            <w:pPr>
              <w:jc w:val="both"/>
              <w:rPr>
                <w:b/>
                <w:bCs/>
              </w:rPr>
            </w:pPr>
            <w:r w:rsidRPr="2CFD360A">
              <w:rPr>
                <w:b/>
                <w:bCs/>
              </w:rPr>
              <w:t>County level requirements</w:t>
            </w:r>
          </w:p>
        </w:tc>
        <w:tc>
          <w:tcPr>
            <w:tcW w:w="1803" w:type="dxa"/>
          </w:tcPr>
          <w:p w14:paraId="406A308F" w14:textId="77777777" w:rsidR="00FD4662" w:rsidRDefault="00FD4662" w:rsidP="00F31E30">
            <w:pPr>
              <w:jc w:val="both"/>
              <w:rPr>
                <w:b/>
                <w:bCs/>
              </w:rPr>
            </w:pPr>
            <w:r w:rsidRPr="2CFD360A">
              <w:rPr>
                <w:b/>
                <w:bCs/>
              </w:rPr>
              <w:t>PCC requirements</w:t>
            </w:r>
          </w:p>
        </w:tc>
        <w:tc>
          <w:tcPr>
            <w:tcW w:w="1803" w:type="dxa"/>
          </w:tcPr>
          <w:p w14:paraId="44D5AD13" w14:textId="77777777" w:rsidR="00FD4662" w:rsidRDefault="00FD4662" w:rsidP="00F31E30">
            <w:pPr>
              <w:jc w:val="both"/>
              <w:rPr>
                <w:b/>
                <w:bCs/>
              </w:rPr>
            </w:pPr>
            <w:r w:rsidRPr="2CFD360A">
              <w:rPr>
                <w:b/>
                <w:bCs/>
              </w:rPr>
              <w:t>Other</w:t>
            </w:r>
          </w:p>
        </w:tc>
      </w:tr>
      <w:tr w:rsidR="00FD4662" w14:paraId="446DFEF9" w14:textId="77777777" w:rsidTr="00F31E30">
        <w:tc>
          <w:tcPr>
            <w:tcW w:w="1803" w:type="dxa"/>
          </w:tcPr>
          <w:p w14:paraId="22B2D61D" w14:textId="77777777" w:rsidR="00FD4662" w:rsidRDefault="00FD4662" w:rsidP="00F31E30">
            <w:pPr>
              <w:jc w:val="both"/>
            </w:pPr>
          </w:p>
        </w:tc>
        <w:tc>
          <w:tcPr>
            <w:tcW w:w="1890" w:type="dxa"/>
          </w:tcPr>
          <w:p w14:paraId="41CCD58D" w14:textId="77777777" w:rsidR="00FD4662" w:rsidRDefault="00FD4662" w:rsidP="00F31E30">
            <w:pPr>
              <w:jc w:val="both"/>
            </w:pPr>
          </w:p>
        </w:tc>
        <w:tc>
          <w:tcPr>
            <w:tcW w:w="1716" w:type="dxa"/>
          </w:tcPr>
          <w:p w14:paraId="6A2952D8" w14:textId="77777777" w:rsidR="00FD4662" w:rsidRDefault="00FD4662" w:rsidP="00F31E30">
            <w:pPr>
              <w:jc w:val="both"/>
            </w:pPr>
          </w:p>
        </w:tc>
        <w:tc>
          <w:tcPr>
            <w:tcW w:w="1803" w:type="dxa"/>
          </w:tcPr>
          <w:p w14:paraId="4E5C1364" w14:textId="77777777" w:rsidR="00FD4662" w:rsidRDefault="00FD4662" w:rsidP="00F31E30">
            <w:pPr>
              <w:jc w:val="both"/>
            </w:pPr>
          </w:p>
        </w:tc>
        <w:tc>
          <w:tcPr>
            <w:tcW w:w="1803" w:type="dxa"/>
          </w:tcPr>
          <w:p w14:paraId="3D60C4E3" w14:textId="77777777" w:rsidR="00FD4662" w:rsidRDefault="00FD4662" w:rsidP="00F31E30">
            <w:pPr>
              <w:jc w:val="both"/>
            </w:pPr>
          </w:p>
        </w:tc>
      </w:tr>
      <w:tr w:rsidR="00FD4662" w14:paraId="4D5BE86D" w14:textId="77777777" w:rsidTr="00F31E30">
        <w:trPr>
          <w:trHeight w:val="3705"/>
        </w:trPr>
        <w:tc>
          <w:tcPr>
            <w:tcW w:w="1803" w:type="dxa"/>
          </w:tcPr>
          <w:p w14:paraId="4ADB6D60" w14:textId="77777777" w:rsidR="00FD4662" w:rsidRDefault="00FD4662" w:rsidP="00FD4662">
            <w:r w:rsidRPr="2CFD360A">
              <w:t>Crime and Disorder Act 1998</w:t>
            </w:r>
          </w:p>
        </w:tc>
        <w:tc>
          <w:tcPr>
            <w:tcW w:w="1890" w:type="dxa"/>
          </w:tcPr>
          <w:p w14:paraId="5EFFCA53" w14:textId="77777777" w:rsidR="00FD4662" w:rsidRDefault="00FD4662" w:rsidP="00FD4662">
            <w:r w:rsidRPr="2CFD360A">
              <w:t xml:space="preserve">Introduced responsible authorities (1), with a duty to produce </w:t>
            </w:r>
            <w:proofErr w:type="gramStart"/>
            <w:r w:rsidRPr="2CFD360A">
              <w:t>three year</w:t>
            </w:r>
            <w:proofErr w:type="gramEnd"/>
            <w:r w:rsidRPr="2CFD360A">
              <w:t xml:space="preserve"> strategies for the reduction of crime and disorder. </w:t>
            </w:r>
          </w:p>
          <w:p w14:paraId="1601B2D0" w14:textId="77777777" w:rsidR="00FD4662" w:rsidRDefault="00FD4662" w:rsidP="00FD4662"/>
          <w:p w14:paraId="5A35952D" w14:textId="77777777" w:rsidR="00FD4662" w:rsidRDefault="00FD4662" w:rsidP="00FD4662">
            <w:pPr>
              <w:rPr>
                <w:rFonts w:eastAsiaTheme="minorEastAsia"/>
                <w:color w:val="000000" w:themeColor="text1"/>
              </w:rPr>
            </w:pPr>
            <w:r w:rsidRPr="2CFD360A">
              <w:t xml:space="preserve">Duty placed on local authorities, </w:t>
            </w:r>
            <w:proofErr w:type="gramStart"/>
            <w:r w:rsidRPr="2CFD360A">
              <w:t>Police</w:t>
            </w:r>
            <w:proofErr w:type="gramEnd"/>
            <w:r w:rsidRPr="2CFD360A">
              <w:t xml:space="preserve"> and others (added / amended over the years) to hav</w:t>
            </w:r>
            <w:r w:rsidRPr="2CFD360A">
              <w:rPr>
                <w:rFonts w:eastAsiaTheme="minorEastAsia"/>
              </w:rPr>
              <w:t xml:space="preserve">e </w:t>
            </w:r>
            <w:r w:rsidRPr="2CFD360A">
              <w:rPr>
                <w:rFonts w:eastAsiaTheme="minorEastAsia"/>
                <w:color w:val="000000" w:themeColor="text1"/>
              </w:rPr>
              <w:t>due regard to the likely effect of the exercise of its functions on, and the need to do all that it reasonably can to prevent, crime and disorder in its area (section 17).</w:t>
            </w:r>
          </w:p>
        </w:tc>
        <w:tc>
          <w:tcPr>
            <w:tcW w:w="1716" w:type="dxa"/>
          </w:tcPr>
          <w:p w14:paraId="54A8C15A" w14:textId="77777777" w:rsidR="00FD4662" w:rsidRDefault="00FD4662" w:rsidP="00FD4662"/>
          <w:p w14:paraId="690E8A03" w14:textId="77777777" w:rsidR="00FD4662" w:rsidRDefault="00FD4662" w:rsidP="00FD4662"/>
          <w:p w14:paraId="6DD179A4" w14:textId="77777777" w:rsidR="00FD4662" w:rsidRDefault="00FD4662" w:rsidP="00FD4662"/>
          <w:p w14:paraId="18347FA4" w14:textId="77777777" w:rsidR="00FD4662" w:rsidRDefault="00FD4662" w:rsidP="00FD4662"/>
          <w:p w14:paraId="3111822F" w14:textId="77777777" w:rsidR="00FD4662" w:rsidRDefault="00FD4662" w:rsidP="00FD4662"/>
          <w:p w14:paraId="07BC031E" w14:textId="77777777" w:rsidR="00FD4662" w:rsidRDefault="00FD4662" w:rsidP="00FD4662"/>
          <w:p w14:paraId="52D058A9" w14:textId="77777777" w:rsidR="00FD4662" w:rsidRDefault="00FD4662" w:rsidP="00FD4662"/>
          <w:p w14:paraId="1DE61F2B" w14:textId="77777777" w:rsidR="00FD4662" w:rsidRDefault="00FD4662" w:rsidP="00FD4662"/>
          <w:p w14:paraId="20466AF2" w14:textId="77777777" w:rsidR="00FD4662" w:rsidRDefault="00FD4662" w:rsidP="00FD4662"/>
          <w:p w14:paraId="488193D7" w14:textId="77777777" w:rsidR="00FD4662" w:rsidRDefault="00FD4662" w:rsidP="00FD4662"/>
          <w:p w14:paraId="2E117559" w14:textId="77777777" w:rsidR="00FD4662" w:rsidRDefault="00FD4662" w:rsidP="00FD4662">
            <w:pPr>
              <w:rPr>
                <w:rFonts w:eastAsiaTheme="minorEastAsia"/>
                <w:color w:val="000000" w:themeColor="text1"/>
              </w:rPr>
            </w:pPr>
            <w:r w:rsidRPr="2CFD360A">
              <w:t xml:space="preserve">Duty placed on local authorities, </w:t>
            </w:r>
            <w:proofErr w:type="gramStart"/>
            <w:r w:rsidRPr="2CFD360A">
              <w:t>Police</w:t>
            </w:r>
            <w:proofErr w:type="gramEnd"/>
            <w:r w:rsidRPr="2CFD360A">
              <w:t xml:space="preserve"> and others (added / amended over the years) to hav</w:t>
            </w:r>
            <w:r w:rsidRPr="2CFD360A">
              <w:rPr>
                <w:rFonts w:eastAsiaTheme="minorEastAsia"/>
              </w:rPr>
              <w:t xml:space="preserve">e </w:t>
            </w:r>
            <w:r w:rsidRPr="2CFD360A">
              <w:rPr>
                <w:rFonts w:eastAsiaTheme="minorEastAsia"/>
                <w:color w:val="000000" w:themeColor="text1"/>
              </w:rPr>
              <w:t>due regard to the likely effect of the exercise of its functions on, and the need to do all that it reasonably can to prevent, crime and disorder in its area (section 17).</w:t>
            </w:r>
          </w:p>
          <w:p w14:paraId="6ECFB3CA" w14:textId="77777777" w:rsidR="00FD4662" w:rsidRDefault="00FD4662" w:rsidP="00FD4662"/>
        </w:tc>
        <w:tc>
          <w:tcPr>
            <w:tcW w:w="1803" w:type="dxa"/>
          </w:tcPr>
          <w:p w14:paraId="31315222" w14:textId="77777777" w:rsidR="00FD4662" w:rsidRDefault="00FD4662" w:rsidP="00F31E30">
            <w:pPr>
              <w:jc w:val="both"/>
            </w:pPr>
          </w:p>
        </w:tc>
        <w:tc>
          <w:tcPr>
            <w:tcW w:w="1803" w:type="dxa"/>
          </w:tcPr>
          <w:p w14:paraId="4C289EAB" w14:textId="77777777" w:rsidR="00FD4662" w:rsidRDefault="00FD4662" w:rsidP="00F31E30">
            <w:pPr>
              <w:jc w:val="both"/>
            </w:pPr>
          </w:p>
        </w:tc>
      </w:tr>
      <w:tr w:rsidR="00FD4662" w14:paraId="474AE5C1" w14:textId="77777777" w:rsidTr="00F31E30">
        <w:tc>
          <w:tcPr>
            <w:tcW w:w="1803" w:type="dxa"/>
          </w:tcPr>
          <w:p w14:paraId="59F0836D" w14:textId="77777777" w:rsidR="00FD4662" w:rsidRDefault="00FD4662" w:rsidP="00FD4662">
            <w:r w:rsidRPr="2CFD360A">
              <w:rPr>
                <w:rFonts w:ascii="Calibri" w:eastAsia="Calibri" w:hAnsi="Calibri" w:cs="Calibri"/>
              </w:rPr>
              <w:t>The Crime and Disorder (Formulation and Implementation of Strategy) Regulations 2007</w:t>
            </w:r>
          </w:p>
          <w:p w14:paraId="7AEEC0AA" w14:textId="77777777" w:rsidR="00FD4662" w:rsidRDefault="00FD4662" w:rsidP="00FD4662">
            <w:r w:rsidRPr="2CFD360A">
              <w:rPr>
                <w:rFonts w:ascii="Calibri" w:eastAsia="Calibri" w:hAnsi="Calibri" w:cs="Calibri"/>
                <w:color w:val="000000" w:themeColor="text1"/>
              </w:rPr>
              <w:t xml:space="preserve">Exercised powers conferred with </w:t>
            </w:r>
            <w:r w:rsidRPr="2CFD360A">
              <w:rPr>
                <w:rFonts w:ascii="Calibri" w:eastAsia="Calibri" w:hAnsi="Calibri" w:cs="Calibri"/>
                <w:color w:val="000000" w:themeColor="text1"/>
              </w:rPr>
              <w:lastRenderedPageBreak/>
              <w:t>the Crime and Disorder Act</w:t>
            </w:r>
          </w:p>
        </w:tc>
        <w:tc>
          <w:tcPr>
            <w:tcW w:w="1890" w:type="dxa"/>
          </w:tcPr>
          <w:p w14:paraId="34623252" w14:textId="77777777" w:rsidR="00FD4662" w:rsidRDefault="00FD4662" w:rsidP="00FD4662">
            <w:r w:rsidRPr="2CFD360A">
              <w:rPr>
                <w:rFonts w:ascii="Calibri" w:eastAsia="Calibri" w:hAnsi="Calibri" w:cs="Calibri"/>
              </w:rPr>
              <w:lastRenderedPageBreak/>
              <w:t xml:space="preserve">Duty to have a strategy group whose functions are to prepare </w:t>
            </w:r>
          </w:p>
          <w:p w14:paraId="3631314E" w14:textId="77777777" w:rsidR="00FD4662" w:rsidRDefault="00FD4662" w:rsidP="00FD4662">
            <w:r w:rsidRPr="2CFD360A">
              <w:rPr>
                <w:rFonts w:ascii="Calibri" w:eastAsia="Calibri" w:hAnsi="Calibri" w:cs="Calibri"/>
              </w:rPr>
              <w:t xml:space="preserve">annual strategic assessments and implement a partnership plan </w:t>
            </w:r>
            <w:r w:rsidRPr="2CFD360A">
              <w:rPr>
                <w:rFonts w:ascii="Calibri" w:eastAsia="Calibri" w:hAnsi="Calibri" w:cs="Calibri"/>
              </w:rPr>
              <w:lastRenderedPageBreak/>
              <w:t>on behalf of the responsible authorities.</w:t>
            </w:r>
          </w:p>
          <w:p w14:paraId="183D5C0C" w14:textId="77777777" w:rsidR="00FD4662" w:rsidRDefault="00FD4662" w:rsidP="00FD4662">
            <w:pPr>
              <w:rPr>
                <w:rFonts w:ascii="Calibri" w:eastAsia="Calibri" w:hAnsi="Calibri" w:cs="Calibri"/>
              </w:rPr>
            </w:pPr>
          </w:p>
          <w:p w14:paraId="0501029E" w14:textId="77777777" w:rsidR="00FD4662" w:rsidRDefault="00FD4662" w:rsidP="00FD4662">
            <w:r w:rsidRPr="2CFD360A">
              <w:rPr>
                <w:rFonts w:ascii="Calibri" w:eastAsia="Calibri" w:hAnsi="Calibri" w:cs="Calibri"/>
              </w:rPr>
              <w:t>Duty to put in place arrangements for the sharing of information between responsible authorities and have a protocol setting out those arrangements (2).</w:t>
            </w:r>
          </w:p>
          <w:p w14:paraId="12CE1B1A" w14:textId="77777777" w:rsidR="00FD4662" w:rsidRDefault="00FD4662" w:rsidP="00FD4662">
            <w:pPr>
              <w:rPr>
                <w:rFonts w:ascii="Calibri" w:eastAsia="Calibri" w:hAnsi="Calibri" w:cs="Calibri"/>
              </w:rPr>
            </w:pPr>
          </w:p>
        </w:tc>
        <w:tc>
          <w:tcPr>
            <w:tcW w:w="1716" w:type="dxa"/>
          </w:tcPr>
          <w:p w14:paraId="07F274AA" w14:textId="77777777" w:rsidR="00FD4662" w:rsidRDefault="00FD4662" w:rsidP="00F31E30">
            <w:pPr>
              <w:jc w:val="both"/>
            </w:pPr>
            <w:r w:rsidRPr="2CFD360A">
              <w:rPr>
                <w:rFonts w:ascii="Calibri" w:eastAsia="Calibri" w:hAnsi="Calibri" w:cs="Calibri"/>
              </w:rPr>
              <w:lastRenderedPageBreak/>
              <w:t xml:space="preserve">Duty to have a county strategy group to prepare a community safety agreement on behalf of the </w:t>
            </w:r>
            <w:r w:rsidRPr="2CFD360A">
              <w:rPr>
                <w:rFonts w:ascii="Calibri" w:eastAsia="Calibri" w:hAnsi="Calibri" w:cs="Calibri"/>
              </w:rPr>
              <w:lastRenderedPageBreak/>
              <w:t>responsible authorities in the county.</w:t>
            </w:r>
          </w:p>
        </w:tc>
        <w:tc>
          <w:tcPr>
            <w:tcW w:w="1803" w:type="dxa"/>
          </w:tcPr>
          <w:p w14:paraId="7B72446B" w14:textId="77777777" w:rsidR="00FD4662" w:rsidRDefault="00FD4662" w:rsidP="00F31E30">
            <w:pPr>
              <w:jc w:val="both"/>
            </w:pPr>
          </w:p>
        </w:tc>
        <w:tc>
          <w:tcPr>
            <w:tcW w:w="1803" w:type="dxa"/>
          </w:tcPr>
          <w:p w14:paraId="69B7B295" w14:textId="77777777" w:rsidR="00FD4662" w:rsidRDefault="00FD4662" w:rsidP="00F31E30">
            <w:pPr>
              <w:jc w:val="both"/>
            </w:pPr>
          </w:p>
        </w:tc>
      </w:tr>
      <w:tr w:rsidR="00FD4662" w14:paraId="66DFD5F9" w14:textId="77777777" w:rsidTr="00F31E30">
        <w:tc>
          <w:tcPr>
            <w:tcW w:w="1803" w:type="dxa"/>
          </w:tcPr>
          <w:p w14:paraId="1F5CFEF9" w14:textId="77777777" w:rsidR="00FD4662" w:rsidRDefault="00FD4662" w:rsidP="00FD4662">
            <w:pPr>
              <w:rPr>
                <w:rFonts w:ascii="Calibri" w:eastAsia="Calibri" w:hAnsi="Calibri" w:cs="Calibri"/>
              </w:rPr>
            </w:pPr>
            <w:r w:rsidRPr="437F0F56">
              <w:rPr>
                <w:rFonts w:ascii="Calibri" w:eastAsia="Calibri" w:hAnsi="Calibri" w:cs="Calibri"/>
              </w:rPr>
              <w:t>Domestic Violence, Crime and Victims Act 2004</w:t>
            </w:r>
          </w:p>
          <w:p w14:paraId="4DAE5279" w14:textId="77777777" w:rsidR="00FD4662" w:rsidRDefault="00FD4662" w:rsidP="00FD4662">
            <w:pPr>
              <w:rPr>
                <w:rFonts w:ascii="Calibri" w:eastAsia="Calibri" w:hAnsi="Calibri" w:cs="Calibri"/>
              </w:rPr>
            </w:pPr>
          </w:p>
        </w:tc>
        <w:tc>
          <w:tcPr>
            <w:tcW w:w="1890" w:type="dxa"/>
          </w:tcPr>
          <w:p w14:paraId="339ED8C1" w14:textId="77777777" w:rsidR="00FD4662" w:rsidRDefault="00FD4662" w:rsidP="00FD4662">
            <w:pPr>
              <w:rPr>
                <w:rFonts w:ascii="Calibri" w:eastAsia="Calibri" w:hAnsi="Calibri" w:cs="Calibri"/>
              </w:rPr>
            </w:pPr>
            <w:r w:rsidRPr="437F0F56">
              <w:rPr>
                <w:rFonts w:ascii="Calibri" w:eastAsia="Calibri" w:hAnsi="Calibri" w:cs="Calibri"/>
              </w:rPr>
              <w:t>Duty on Community Safety Partnerships to undertake Domestic Homicide Reviews (2).</w:t>
            </w:r>
          </w:p>
          <w:p w14:paraId="6FEE340F" w14:textId="77777777" w:rsidR="00FD4662" w:rsidRDefault="00FD4662" w:rsidP="00FD4662">
            <w:pPr>
              <w:rPr>
                <w:rFonts w:ascii="Calibri" w:eastAsia="Calibri" w:hAnsi="Calibri" w:cs="Calibri"/>
              </w:rPr>
            </w:pPr>
          </w:p>
        </w:tc>
        <w:tc>
          <w:tcPr>
            <w:tcW w:w="1716" w:type="dxa"/>
          </w:tcPr>
          <w:p w14:paraId="20501C63" w14:textId="77777777" w:rsidR="00FD4662" w:rsidRDefault="00FD4662" w:rsidP="00F31E30">
            <w:pPr>
              <w:jc w:val="both"/>
              <w:rPr>
                <w:rFonts w:ascii="Calibri" w:eastAsia="Calibri" w:hAnsi="Calibri" w:cs="Calibri"/>
              </w:rPr>
            </w:pPr>
          </w:p>
        </w:tc>
        <w:tc>
          <w:tcPr>
            <w:tcW w:w="1803" w:type="dxa"/>
          </w:tcPr>
          <w:p w14:paraId="3C5DBC09" w14:textId="77777777" w:rsidR="00FD4662" w:rsidRDefault="00FD4662" w:rsidP="00F31E30">
            <w:pPr>
              <w:jc w:val="both"/>
            </w:pPr>
          </w:p>
        </w:tc>
        <w:tc>
          <w:tcPr>
            <w:tcW w:w="1803" w:type="dxa"/>
          </w:tcPr>
          <w:p w14:paraId="73037657" w14:textId="77777777" w:rsidR="00FD4662" w:rsidRDefault="00FD4662" w:rsidP="00F31E30">
            <w:pPr>
              <w:jc w:val="both"/>
            </w:pPr>
          </w:p>
        </w:tc>
      </w:tr>
      <w:tr w:rsidR="00FD4662" w14:paraId="5D6738A0" w14:textId="77777777" w:rsidTr="00F31E30">
        <w:tc>
          <w:tcPr>
            <w:tcW w:w="1803" w:type="dxa"/>
          </w:tcPr>
          <w:p w14:paraId="3420A0BA" w14:textId="77777777" w:rsidR="00FD4662" w:rsidRDefault="00FD4662" w:rsidP="00FD4662">
            <w:r w:rsidRPr="2CFD360A">
              <w:t>Police and Justice Act 2006</w:t>
            </w:r>
          </w:p>
        </w:tc>
        <w:tc>
          <w:tcPr>
            <w:tcW w:w="1890" w:type="dxa"/>
          </w:tcPr>
          <w:p w14:paraId="62C2CF4B" w14:textId="77777777" w:rsidR="00FD4662" w:rsidRDefault="00FD4662" w:rsidP="00FD4662">
            <w:r w:rsidRPr="2CFD360A">
              <w:t>Duty to have a crime and disorder scrutiny committee.</w:t>
            </w:r>
          </w:p>
          <w:p w14:paraId="66975446" w14:textId="77777777" w:rsidR="00FD4662" w:rsidRDefault="00FD4662" w:rsidP="00FD4662"/>
          <w:p w14:paraId="5688EE13" w14:textId="77777777" w:rsidR="00FD4662" w:rsidRDefault="00FD4662" w:rsidP="00FD4662">
            <w:r w:rsidRPr="2CFD360A">
              <w:t xml:space="preserve">Amended section 17 to include Anti-Social Behaviour and the misuse of drugs, </w:t>
            </w:r>
            <w:proofErr w:type="gramStart"/>
            <w:r w:rsidRPr="2CFD360A">
              <w:t>alcohol</w:t>
            </w:r>
            <w:proofErr w:type="gramEnd"/>
            <w:r w:rsidRPr="2CFD360A">
              <w:t xml:space="preserve"> and other substances.</w:t>
            </w:r>
          </w:p>
          <w:p w14:paraId="5E223747" w14:textId="77777777" w:rsidR="00FD4662" w:rsidRDefault="00FD4662" w:rsidP="00FD4662"/>
          <w:p w14:paraId="61AF799B" w14:textId="77777777" w:rsidR="00FD4662" w:rsidRDefault="00FD4662" w:rsidP="00FD4662">
            <w:r w:rsidRPr="2CFD360A">
              <w:t xml:space="preserve">Added requirement for strategies to include </w:t>
            </w:r>
            <w:r w:rsidRPr="2CFD360A">
              <w:rPr>
                <w:rFonts w:eastAsiaTheme="minorEastAsia"/>
                <w:color w:val="000000" w:themeColor="text1"/>
              </w:rPr>
              <w:t xml:space="preserve">anti-social and other behaviour adversely affecting the local environment and the misuse of drugs, </w:t>
            </w:r>
            <w:proofErr w:type="gramStart"/>
            <w:r w:rsidRPr="2CFD360A">
              <w:rPr>
                <w:rFonts w:eastAsiaTheme="minorEastAsia"/>
                <w:color w:val="000000" w:themeColor="text1"/>
              </w:rPr>
              <w:t>alcohol</w:t>
            </w:r>
            <w:proofErr w:type="gramEnd"/>
            <w:r w:rsidRPr="2CFD360A">
              <w:rPr>
                <w:rFonts w:eastAsiaTheme="minorEastAsia"/>
                <w:color w:val="000000" w:themeColor="text1"/>
              </w:rPr>
              <w:t xml:space="preserve"> and other substances.</w:t>
            </w:r>
          </w:p>
          <w:p w14:paraId="23D90ED8" w14:textId="77777777" w:rsidR="00FD4662" w:rsidRDefault="00FD4662" w:rsidP="00FD4662">
            <w:pPr>
              <w:rPr>
                <w:rFonts w:eastAsiaTheme="minorEastAsia"/>
                <w:color w:val="000000" w:themeColor="text1"/>
              </w:rPr>
            </w:pPr>
          </w:p>
        </w:tc>
        <w:tc>
          <w:tcPr>
            <w:tcW w:w="1716" w:type="dxa"/>
          </w:tcPr>
          <w:p w14:paraId="591B3EA6" w14:textId="77777777" w:rsidR="00FD4662" w:rsidRDefault="00FD4662" w:rsidP="00FD4662"/>
          <w:p w14:paraId="053F3967" w14:textId="77777777" w:rsidR="00FD4662" w:rsidRDefault="00FD4662" w:rsidP="00FD4662"/>
          <w:p w14:paraId="6589E8C0" w14:textId="77777777" w:rsidR="00FD4662" w:rsidRDefault="00FD4662" w:rsidP="00FD4662"/>
          <w:p w14:paraId="76B300C3" w14:textId="77777777" w:rsidR="00FD4662" w:rsidRDefault="00FD4662" w:rsidP="00FD4662"/>
          <w:p w14:paraId="4C313213" w14:textId="77777777" w:rsidR="00FD4662" w:rsidRDefault="00FD4662" w:rsidP="00FD4662"/>
          <w:p w14:paraId="165AD8D9" w14:textId="77777777" w:rsidR="00FD4662" w:rsidRDefault="00FD4662" w:rsidP="00FD4662">
            <w:r w:rsidRPr="2CFD360A">
              <w:t xml:space="preserve">Amended section 17 to include Anti-Social Behaviour and the misuse of drugs, </w:t>
            </w:r>
            <w:proofErr w:type="gramStart"/>
            <w:r w:rsidRPr="2CFD360A">
              <w:t>alcohol</w:t>
            </w:r>
            <w:proofErr w:type="gramEnd"/>
            <w:r w:rsidRPr="2CFD360A">
              <w:t xml:space="preserve"> and other substances.</w:t>
            </w:r>
          </w:p>
          <w:p w14:paraId="363DBD6C" w14:textId="77777777" w:rsidR="00FD4662" w:rsidRDefault="00FD4662" w:rsidP="00FD4662"/>
        </w:tc>
        <w:tc>
          <w:tcPr>
            <w:tcW w:w="1803" w:type="dxa"/>
          </w:tcPr>
          <w:p w14:paraId="7998A1BC" w14:textId="77777777" w:rsidR="00FD4662" w:rsidRDefault="00FD4662" w:rsidP="00F31E30">
            <w:pPr>
              <w:jc w:val="both"/>
            </w:pPr>
          </w:p>
        </w:tc>
        <w:tc>
          <w:tcPr>
            <w:tcW w:w="1803" w:type="dxa"/>
          </w:tcPr>
          <w:p w14:paraId="6F81B0C4" w14:textId="77777777" w:rsidR="00FD4662" w:rsidRDefault="00FD4662" w:rsidP="00F31E30">
            <w:pPr>
              <w:jc w:val="both"/>
            </w:pPr>
          </w:p>
        </w:tc>
      </w:tr>
      <w:tr w:rsidR="00FD4662" w14:paraId="34325A41" w14:textId="77777777" w:rsidTr="00F31E30">
        <w:tc>
          <w:tcPr>
            <w:tcW w:w="1803" w:type="dxa"/>
          </w:tcPr>
          <w:p w14:paraId="5BF441D7" w14:textId="77777777" w:rsidR="00FD4662" w:rsidRDefault="00FD4662" w:rsidP="00FD4662">
            <w:r w:rsidRPr="2CFD360A">
              <w:t>Policing and Crime Act 2009</w:t>
            </w:r>
          </w:p>
        </w:tc>
        <w:tc>
          <w:tcPr>
            <w:tcW w:w="1890" w:type="dxa"/>
          </w:tcPr>
          <w:p w14:paraId="448ECEA4" w14:textId="77777777" w:rsidR="00FD4662" w:rsidRDefault="00FD4662" w:rsidP="00FD4662">
            <w:r w:rsidRPr="2CFD360A">
              <w:t>Amended section 17 to include re-offending.</w:t>
            </w:r>
          </w:p>
          <w:p w14:paraId="359A34E2" w14:textId="77777777" w:rsidR="00FD4662" w:rsidRDefault="00FD4662" w:rsidP="00FD4662"/>
          <w:p w14:paraId="77EB8AA1" w14:textId="77777777" w:rsidR="00FD4662" w:rsidRDefault="00FD4662" w:rsidP="00FD4662">
            <w:r w:rsidRPr="2CFD360A">
              <w:t>Added requirement for strategies to include the reduction of re-offending.</w:t>
            </w:r>
          </w:p>
          <w:p w14:paraId="22323C19" w14:textId="77777777" w:rsidR="00FD4662" w:rsidRDefault="00FD4662" w:rsidP="00FD4662"/>
        </w:tc>
        <w:tc>
          <w:tcPr>
            <w:tcW w:w="1716" w:type="dxa"/>
          </w:tcPr>
          <w:p w14:paraId="7C385D6D" w14:textId="77777777" w:rsidR="00FD4662" w:rsidRDefault="00FD4662" w:rsidP="00FD4662">
            <w:r w:rsidRPr="2CFD360A">
              <w:t>Amended section 17 to include re-offending.</w:t>
            </w:r>
          </w:p>
          <w:p w14:paraId="19651057" w14:textId="77777777" w:rsidR="00FD4662" w:rsidRDefault="00FD4662" w:rsidP="00FD4662"/>
        </w:tc>
        <w:tc>
          <w:tcPr>
            <w:tcW w:w="1803" w:type="dxa"/>
          </w:tcPr>
          <w:p w14:paraId="5530A941" w14:textId="77777777" w:rsidR="00FD4662" w:rsidRDefault="00FD4662" w:rsidP="00F31E30">
            <w:pPr>
              <w:jc w:val="both"/>
            </w:pPr>
          </w:p>
        </w:tc>
        <w:tc>
          <w:tcPr>
            <w:tcW w:w="1803" w:type="dxa"/>
          </w:tcPr>
          <w:p w14:paraId="46D9FFAD" w14:textId="77777777" w:rsidR="00FD4662" w:rsidRDefault="00FD4662" w:rsidP="00F31E30">
            <w:pPr>
              <w:jc w:val="both"/>
            </w:pPr>
          </w:p>
        </w:tc>
      </w:tr>
      <w:tr w:rsidR="00FD4662" w14:paraId="6D3757AA" w14:textId="77777777" w:rsidTr="00F31E30">
        <w:tc>
          <w:tcPr>
            <w:tcW w:w="1803" w:type="dxa"/>
          </w:tcPr>
          <w:p w14:paraId="0ABD3141" w14:textId="77777777" w:rsidR="00FD4662" w:rsidRDefault="00FD4662" w:rsidP="00FD4662">
            <w:r w:rsidRPr="2CFD360A">
              <w:rPr>
                <w:rFonts w:ascii="Calibri" w:eastAsia="Calibri" w:hAnsi="Calibri" w:cs="Calibri"/>
              </w:rPr>
              <w:t>Police Reform and Social Responsibility Act 2011</w:t>
            </w:r>
          </w:p>
        </w:tc>
        <w:tc>
          <w:tcPr>
            <w:tcW w:w="1890" w:type="dxa"/>
          </w:tcPr>
          <w:p w14:paraId="17174296" w14:textId="77777777" w:rsidR="00FD4662" w:rsidRDefault="00FD4662" w:rsidP="00FD4662"/>
        </w:tc>
        <w:tc>
          <w:tcPr>
            <w:tcW w:w="1716" w:type="dxa"/>
          </w:tcPr>
          <w:p w14:paraId="72624244" w14:textId="77777777" w:rsidR="00FD4662" w:rsidRDefault="00FD4662" w:rsidP="00FD4662"/>
        </w:tc>
        <w:tc>
          <w:tcPr>
            <w:tcW w:w="1803" w:type="dxa"/>
          </w:tcPr>
          <w:p w14:paraId="3E95195F" w14:textId="77777777" w:rsidR="00FD4662" w:rsidRDefault="00FD4662" w:rsidP="00FD4662">
            <w:r w:rsidRPr="2CFD360A">
              <w:t>Abolished Police Authorities and introduced Police and Crime Commissioners for areas outside London.</w:t>
            </w:r>
          </w:p>
          <w:p w14:paraId="78FB364A" w14:textId="77777777" w:rsidR="00FD4662" w:rsidRDefault="00FD4662" w:rsidP="00FD4662"/>
          <w:p w14:paraId="585E9A7C" w14:textId="77777777" w:rsidR="00FD4662" w:rsidRDefault="00FD4662" w:rsidP="00FD4662">
            <w:pPr>
              <w:rPr>
                <w:rFonts w:eastAsiaTheme="minorEastAsia"/>
                <w:color w:val="000000" w:themeColor="text1"/>
              </w:rPr>
            </w:pPr>
            <w:r>
              <w:t>Duty on the PCC to issue a Police and Crime Plan and co-operate with and have</w:t>
            </w:r>
            <w:r w:rsidRPr="7EA0A68C">
              <w:rPr>
                <w:rFonts w:eastAsiaTheme="minorEastAsia"/>
                <w:color w:val="000000" w:themeColor="text1"/>
              </w:rPr>
              <w:t xml:space="preserve"> regard to the relevant priorities of each responsible authority.</w:t>
            </w:r>
          </w:p>
          <w:p w14:paraId="40596C93" w14:textId="77777777" w:rsidR="00FD4662" w:rsidRDefault="00FD4662" w:rsidP="00FD4662">
            <w:pPr>
              <w:rPr>
                <w:rFonts w:eastAsiaTheme="minorEastAsia"/>
                <w:color w:val="000000" w:themeColor="text1"/>
              </w:rPr>
            </w:pPr>
          </w:p>
          <w:p w14:paraId="41A721F6" w14:textId="77777777" w:rsidR="00FD4662" w:rsidRDefault="00FD4662" w:rsidP="00FD4662">
            <w:pPr>
              <w:rPr>
                <w:rFonts w:eastAsiaTheme="minorEastAsia"/>
                <w:color w:val="000000" w:themeColor="text1"/>
              </w:rPr>
            </w:pPr>
          </w:p>
        </w:tc>
        <w:tc>
          <w:tcPr>
            <w:tcW w:w="1803" w:type="dxa"/>
          </w:tcPr>
          <w:p w14:paraId="43CEBD0C" w14:textId="77777777" w:rsidR="00FD4662" w:rsidRDefault="00FD4662" w:rsidP="00FD4662">
            <w:r>
              <w:t>Funding for partnership Community Safety interventions transferred from Local Authorities (WCC) to PCCs.</w:t>
            </w:r>
          </w:p>
        </w:tc>
      </w:tr>
      <w:tr w:rsidR="00FD4662" w14:paraId="6E282D40" w14:textId="77777777" w:rsidTr="00F31E30">
        <w:tc>
          <w:tcPr>
            <w:tcW w:w="1803" w:type="dxa"/>
          </w:tcPr>
          <w:p w14:paraId="7F2AFA95" w14:textId="77777777" w:rsidR="00FD4662" w:rsidRDefault="00FD4662" w:rsidP="00FD4662">
            <w:r w:rsidRPr="2CFD360A">
              <w:t>Police, Crime, Sentencing and Courts Bill 2021</w:t>
            </w:r>
          </w:p>
        </w:tc>
        <w:tc>
          <w:tcPr>
            <w:tcW w:w="1890" w:type="dxa"/>
          </w:tcPr>
          <w:p w14:paraId="2EDC20A3" w14:textId="77777777" w:rsidR="00FD4662" w:rsidRDefault="00FD4662" w:rsidP="00FD4662">
            <w:r w:rsidRPr="2CFD360A">
              <w:t>Will introduce a duty on responsible authorities to tackle serious violence</w:t>
            </w:r>
          </w:p>
        </w:tc>
        <w:tc>
          <w:tcPr>
            <w:tcW w:w="1716" w:type="dxa"/>
          </w:tcPr>
          <w:p w14:paraId="4DDCE674" w14:textId="77777777" w:rsidR="00FD4662" w:rsidRDefault="00FD4662" w:rsidP="00F31E30">
            <w:pPr>
              <w:jc w:val="both"/>
            </w:pPr>
          </w:p>
        </w:tc>
        <w:tc>
          <w:tcPr>
            <w:tcW w:w="1803" w:type="dxa"/>
          </w:tcPr>
          <w:p w14:paraId="2E81D6CB" w14:textId="77777777" w:rsidR="00FD4662" w:rsidRDefault="00FD4662" w:rsidP="00F31E30">
            <w:pPr>
              <w:jc w:val="both"/>
            </w:pPr>
          </w:p>
        </w:tc>
        <w:tc>
          <w:tcPr>
            <w:tcW w:w="1803" w:type="dxa"/>
          </w:tcPr>
          <w:p w14:paraId="4619FDBE" w14:textId="77777777" w:rsidR="00FD4662" w:rsidRDefault="00FD4662" w:rsidP="00F31E30">
            <w:pPr>
              <w:jc w:val="both"/>
            </w:pPr>
          </w:p>
        </w:tc>
      </w:tr>
      <w:tr w:rsidR="00FD4662" w14:paraId="1D7A6260" w14:textId="77777777" w:rsidTr="00F31E30">
        <w:tc>
          <w:tcPr>
            <w:tcW w:w="1803" w:type="dxa"/>
          </w:tcPr>
          <w:p w14:paraId="165CD82E" w14:textId="77777777" w:rsidR="00FD4662" w:rsidRDefault="00FD4662" w:rsidP="00F31E30">
            <w:pPr>
              <w:jc w:val="both"/>
            </w:pPr>
          </w:p>
        </w:tc>
        <w:tc>
          <w:tcPr>
            <w:tcW w:w="1890" w:type="dxa"/>
          </w:tcPr>
          <w:p w14:paraId="02DE0DCB" w14:textId="77777777" w:rsidR="00FD4662" w:rsidRDefault="00FD4662" w:rsidP="00F31E30">
            <w:pPr>
              <w:jc w:val="both"/>
            </w:pPr>
          </w:p>
        </w:tc>
        <w:tc>
          <w:tcPr>
            <w:tcW w:w="1716" w:type="dxa"/>
          </w:tcPr>
          <w:p w14:paraId="1BC3D740" w14:textId="77777777" w:rsidR="00FD4662" w:rsidRDefault="00FD4662" w:rsidP="00F31E30">
            <w:pPr>
              <w:jc w:val="both"/>
            </w:pPr>
          </w:p>
        </w:tc>
        <w:tc>
          <w:tcPr>
            <w:tcW w:w="1803" w:type="dxa"/>
          </w:tcPr>
          <w:p w14:paraId="43257610" w14:textId="77777777" w:rsidR="00FD4662" w:rsidRDefault="00FD4662" w:rsidP="00F31E30">
            <w:pPr>
              <w:jc w:val="both"/>
            </w:pPr>
          </w:p>
        </w:tc>
        <w:tc>
          <w:tcPr>
            <w:tcW w:w="1803" w:type="dxa"/>
          </w:tcPr>
          <w:p w14:paraId="0F2F1D0E" w14:textId="77777777" w:rsidR="00FD4662" w:rsidRDefault="00FD4662" w:rsidP="00F31E30">
            <w:pPr>
              <w:jc w:val="both"/>
            </w:pPr>
          </w:p>
        </w:tc>
      </w:tr>
    </w:tbl>
    <w:p w14:paraId="7B1CD0DE" w14:textId="77777777" w:rsidR="00FD4662" w:rsidRDefault="00FD4662" w:rsidP="00FD4662">
      <w:pPr>
        <w:jc w:val="both"/>
        <w:rPr>
          <w:sz w:val="24"/>
          <w:szCs w:val="24"/>
          <w:u w:val="single"/>
        </w:rPr>
      </w:pPr>
    </w:p>
    <w:p w14:paraId="1B85C63E" w14:textId="77777777" w:rsidR="00FD4662" w:rsidRDefault="00FD4662" w:rsidP="00FD4662">
      <w:pPr>
        <w:jc w:val="both"/>
      </w:pPr>
      <w:r w:rsidRPr="2CFD360A">
        <w:t xml:space="preserve">(1) The detail of the community safety responsible authorities has been updated </w:t>
      </w:r>
      <w:proofErr w:type="gramStart"/>
      <w:r w:rsidRPr="2CFD360A">
        <w:t>a number of</w:t>
      </w:r>
      <w:proofErr w:type="gramEnd"/>
      <w:r w:rsidRPr="2CFD360A">
        <w:t xml:space="preserve"> times over the years. The responsible authorities in a </w:t>
      </w:r>
      <w:proofErr w:type="gramStart"/>
      <w:r w:rsidRPr="2CFD360A">
        <w:t>two tier</w:t>
      </w:r>
      <w:proofErr w:type="gramEnd"/>
      <w:r w:rsidRPr="2CFD360A">
        <w:t xml:space="preserve"> area in England such as Warwickshire are currently:</w:t>
      </w:r>
    </w:p>
    <w:p w14:paraId="7612FA15" w14:textId="77777777" w:rsidR="00FD4662" w:rsidRDefault="00FD4662" w:rsidP="00FD4662">
      <w:pPr>
        <w:pStyle w:val="ListParagraph"/>
        <w:numPr>
          <w:ilvl w:val="0"/>
          <w:numId w:val="1"/>
        </w:numPr>
        <w:jc w:val="both"/>
      </w:pPr>
      <w:r w:rsidRPr="2CFD360A">
        <w:t>The District/Borough Council</w:t>
      </w:r>
    </w:p>
    <w:p w14:paraId="5110F55C" w14:textId="77777777" w:rsidR="00FD4662" w:rsidRDefault="00FD4662" w:rsidP="00FD4662">
      <w:pPr>
        <w:pStyle w:val="ListParagraph"/>
        <w:numPr>
          <w:ilvl w:val="0"/>
          <w:numId w:val="1"/>
        </w:numPr>
        <w:jc w:val="both"/>
      </w:pPr>
      <w:r w:rsidRPr="2CFD360A">
        <w:t>The County Council</w:t>
      </w:r>
    </w:p>
    <w:p w14:paraId="12A19C79" w14:textId="77777777" w:rsidR="00FD4662" w:rsidRDefault="00FD4662" w:rsidP="00FD4662">
      <w:pPr>
        <w:pStyle w:val="ListParagraph"/>
        <w:numPr>
          <w:ilvl w:val="0"/>
          <w:numId w:val="1"/>
        </w:numPr>
        <w:jc w:val="both"/>
      </w:pPr>
      <w:r w:rsidRPr="2CFD360A">
        <w:t>Probation services</w:t>
      </w:r>
    </w:p>
    <w:p w14:paraId="5CFC7D76" w14:textId="77777777" w:rsidR="00FD4662" w:rsidRDefault="00FD4662" w:rsidP="00FD4662">
      <w:pPr>
        <w:pStyle w:val="ListParagraph"/>
        <w:numPr>
          <w:ilvl w:val="0"/>
          <w:numId w:val="1"/>
        </w:numPr>
        <w:jc w:val="both"/>
      </w:pPr>
      <w:r w:rsidRPr="2CFD360A">
        <w:t>The Police</w:t>
      </w:r>
    </w:p>
    <w:p w14:paraId="5D65F7D9" w14:textId="77777777" w:rsidR="00FD4662" w:rsidRDefault="00FD4662" w:rsidP="00FD4662">
      <w:pPr>
        <w:pStyle w:val="ListParagraph"/>
        <w:numPr>
          <w:ilvl w:val="0"/>
          <w:numId w:val="1"/>
        </w:numPr>
        <w:jc w:val="both"/>
      </w:pPr>
      <w:r w:rsidRPr="2CFD360A">
        <w:t>The Fire and Rescue Authority</w:t>
      </w:r>
    </w:p>
    <w:p w14:paraId="2BE233D3" w14:textId="77777777" w:rsidR="00FD4662" w:rsidRDefault="00FD4662" w:rsidP="00FD4662">
      <w:pPr>
        <w:pStyle w:val="ListParagraph"/>
        <w:numPr>
          <w:ilvl w:val="0"/>
          <w:numId w:val="1"/>
        </w:numPr>
        <w:jc w:val="both"/>
      </w:pPr>
      <w:r w:rsidRPr="2CFD360A">
        <w:t>Clinical Commissioning Groups.</w:t>
      </w:r>
    </w:p>
    <w:p w14:paraId="1FEAE006" w14:textId="77777777" w:rsidR="00FD4662" w:rsidRDefault="00FD4662" w:rsidP="00FD4662">
      <w:pPr>
        <w:jc w:val="both"/>
      </w:pPr>
      <w:r w:rsidRPr="2CFD360A">
        <w:t xml:space="preserve">The responsible authorities have a reciprocal duty to act in co-operation with other bodies as prescribed by the Secretary of State. At the time of implementation of the Crime and Disorder Act, the organisations with a duty to co-operate with responsible authorities were Registered Social Landlords, Parish Councils and NHS Trusts. </w:t>
      </w:r>
      <w:r>
        <w:t>Many</w:t>
      </w:r>
      <w:r w:rsidRPr="2CFD360A">
        <w:t xml:space="preserve"> other organisations could be invited to co-operate.</w:t>
      </w:r>
    </w:p>
    <w:p w14:paraId="10A10CC4" w14:textId="77777777" w:rsidR="00FD4662" w:rsidRDefault="00FD4662" w:rsidP="00FD4662">
      <w:pPr>
        <w:jc w:val="both"/>
      </w:pPr>
      <w:r w:rsidRPr="437F0F56">
        <w:t>(2) This is co-ordinated at a county level in Warwickshire.</w:t>
      </w:r>
    </w:p>
    <w:p w14:paraId="1AAA7107" w14:textId="77777777" w:rsidR="00FD4662" w:rsidRPr="00FD4662" w:rsidRDefault="00FD4662" w:rsidP="00FD4662">
      <w:pPr>
        <w:rPr>
          <w:sz w:val="24"/>
          <w:szCs w:val="24"/>
          <w:u w:val="single"/>
        </w:rPr>
      </w:pPr>
    </w:p>
    <w:sectPr w:rsidR="00FD4662" w:rsidRPr="00FD46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19FD" w14:textId="77777777" w:rsidR="00FD4662" w:rsidRDefault="00FD4662" w:rsidP="00FD4662">
      <w:pPr>
        <w:spacing w:after="0" w:line="240" w:lineRule="auto"/>
      </w:pPr>
      <w:r>
        <w:separator/>
      </w:r>
    </w:p>
  </w:endnote>
  <w:endnote w:type="continuationSeparator" w:id="0">
    <w:p w14:paraId="0C3A5059" w14:textId="77777777" w:rsidR="00FD4662" w:rsidRDefault="00FD4662" w:rsidP="00FD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3929" w14:textId="77777777" w:rsidR="00FD4662" w:rsidRDefault="00FD4662" w:rsidP="00FD4662">
      <w:pPr>
        <w:spacing w:after="0" w:line="240" w:lineRule="auto"/>
      </w:pPr>
      <w:r>
        <w:separator/>
      </w:r>
    </w:p>
  </w:footnote>
  <w:footnote w:type="continuationSeparator" w:id="0">
    <w:p w14:paraId="379EF804" w14:textId="77777777" w:rsidR="00FD4662" w:rsidRDefault="00FD4662" w:rsidP="00FD4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60D2D"/>
    <w:multiLevelType w:val="hybridMultilevel"/>
    <w:tmpl w:val="FFFFFFFF"/>
    <w:lvl w:ilvl="0" w:tplc="73061228">
      <w:start w:val="1"/>
      <w:numFmt w:val="bullet"/>
      <w:lvlText w:val=""/>
      <w:lvlJc w:val="left"/>
      <w:pPr>
        <w:ind w:left="720" w:hanging="360"/>
      </w:pPr>
      <w:rPr>
        <w:rFonts w:ascii="Symbol" w:hAnsi="Symbol" w:hint="default"/>
      </w:rPr>
    </w:lvl>
    <w:lvl w:ilvl="1" w:tplc="CB76EEF0">
      <w:start w:val="1"/>
      <w:numFmt w:val="bullet"/>
      <w:lvlText w:val="o"/>
      <w:lvlJc w:val="left"/>
      <w:pPr>
        <w:ind w:left="1440" w:hanging="360"/>
      </w:pPr>
      <w:rPr>
        <w:rFonts w:ascii="Courier New" w:hAnsi="Courier New" w:hint="default"/>
      </w:rPr>
    </w:lvl>
    <w:lvl w:ilvl="2" w:tplc="1D6C1B8C">
      <w:start w:val="1"/>
      <w:numFmt w:val="bullet"/>
      <w:lvlText w:val=""/>
      <w:lvlJc w:val="left"/>
      <w:pPr>
        <w:ind w:left="2160" w:hanging="360"/>
      </w:pPr>
      <w:rPr>
        <w:rFonts w:ascii="Wingdings" w:hAnsi="Wingdings" w:hint="default"/>
      </w:rPr>
    </w:lvl>
    <w:lvl w:ilvl="3" w:tplc="2EDCF51E">
      <w:start w:val="1"/>
      <w:numFmt w:val="bullet"/>
      <w:lvlText w:val=""/>
      <w:lvlJc w:val="left"/>
      <w:pPr>
        <w:ind w:left="2880" w:hanging="360"/>
      </w:pPr>
      <w:rPr>
        <w:rFonts w:ascii="Symbol" w:hAnsi="Symbol" w:hint="default"/>
      </w:rPr>
    </w:lvl>
    <w:lvl w:ilvl="4" w:tplc="38AC9D1E">
      <w:start w:val="1"/>
      <w:numFmt w:val="bullet"/>
      <w:lvlText w:val="o"/>
      <w:lvlJc w:val="left"/>
      <w:pPr>
        <w:ind w:left="3600" w:hanging="360"/>
      </w:pPr>
      <w:rPr>
        <w:rFonts w:ascii="Courier New" w:hAnsi="Courier New" w:hint="default"/>
      </w:rPr>
    </w:lvl>
    <w:lvl w:ilvl="5" w:tplc="2638989C">
      <w:start w:val="1"/>
      <w:numFmt w:val="bullet"/>
      <w:lvlText w:val=""/>
      <w:lvlJc w:val="left"/>
      <w:pPr>
        <w:ind w:left="4320" w:hanging="360"/>
      </w:pPr>
      <w:rPr>
        <w:rFonts w:ascii="Wingdings" w:hAnsi="Wingdings" w:hint="default"/>
      </w:rPr>
    </w:lvl>
    <w:lvl w:ilvl="6" w:tplc="120A6CE2">
      <w:start w:val="1"/>
      <w:numFmt w:val="bullet"/>
      <w:lvlText w:val=""/>
      <w:lvlJc w:val="left"/>
      <w:pPr>
        <w:ind w:left="5040" w:hanging="360"/>
      </w:pPr>
      <w:rPr>
        <w:rFonts w:ascii="Symbol" w:hAnsi="Symbol" w:hint="default"/>
      </w:rPr>
    </w:lvl>
    <w:lvl w:ilvl="7" w:tplc="82429DB6">
      <w:start w:val="1"/>
      <w:numFmt w:val="bullet"/>
      <w:lvlText w:val="o"/>
      <w:lvlJc w:val="left"/>
      <w:pPr>
        <w:ind w:left="5760" w:hanging="360"/>
      </w:pPr>
      <w:rPr>
        <w:rFonts w:ascii="Courier New" w:hAnsi="Courier New" w:hint="default"/>
      </w:rPr>
    </w:lvl>
    <w:lvl w:ilvl="8" w:tplc="DBDC02A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62"/>
    <w:rsid w:val="002A19D3"/>
    <w:rsid w:val="00FD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AE44"/>
  <w15:chartTrackingRefBased/>
  <w15:docId w15:val="{611A681B-2FE4-44FF-85EB-831B13C7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62"/>
    <w:pPr>
      <w:ind w:left="720"/>
      <w:contextualSpacing/>
    </w:pPr>
  </w:style>
  <w:style w:type="table" w:styleId="TableGrid">
    <w:name w:val="Table Grid"/>
    <w:basedOn w:val="TableNormal"/>
    <w:uiPriority w:val="39"/>
    <w:rsid w:val="00FD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einwarwickshire.com/i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Whitehouse</dc:creator>
  <cp:keywords/>
  <dc:description/>
  <cp:lastModifiedBy>Katie Whitehouse</cp:lastModifiedBy>
  <cp:revision>1</cp:revision>
  <dcterms:created xsi:type="dcterms:W3CDTF">2022-01-27T13:40:00Z</dcterms:created>
  <dcterms:modified xsi:type="dcterms:W3CDTF">2022-01-27T13:44:00Z</dcterms:modified>
</cp:coreProperties>
</file>